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4FD63" w14:textId="36F07488" w:rsidR="00155895" w:rsidRDefault="00155895" w:rsidP="00155895">
      <w:pPr>
        <w:spacing w:before="360" w:after="0" w:line="240" w:lineRule="auto"/>
        <w:rPr>
          <w:rFonts w:cs="Times New Roman"/>
          <w:b/>
          <w:color w:val="002060"/>
          <w:sz w:val="28"/>
          <w:szCs w:val="28"/>
          <w:lang w:val="en-GB"/>
        </w:rPr>
      </w:pPr>
      <w:r>
        <w:rPr>
          <w:rFonts w:cs="Times New Roman"/>
          <w:b/>
          <w:color w:val="002060"/>
          <w:sz w:val="28"/>
          <w:szCs w:val="28"/>
          <w:lang w:val="en-GB"/>
        </w:rPr>
        <w:t>P</w:t>
      </w:r>
      <w:r w:rsidR="00EA674B">
        <w:rPr>
          <w:rFonts w:cs="Times New Roman"/>
          <w:b/>
          <w:color w:val="002060"/>
          <w:sz w:val="28"/>
          <w:szCs w:val="28"/>
          <w:lang w:val="en-GB"/>
        </w:rPr>
        <w:t>ublic Service Dimensions</w:t>
      </w:r>
      <w:r>
        <w:rPr>
          <w:rFonts w:cs="Times New Roman"/>
          <w:b/>
          <w:color w:val="002060"/>
          <w:sz w:val="28"/>
          <w:szCs w:val="28"/>
          <w:lang w:val="en-GB"/>
        </w:rPr>
        <w:t xml:space="preserve">: </w:t>
      </w:r>
      <w:r w:rsidR="00EA674B" w:rsidRPr="00EA674B">
        <w:rPr>
          <w:rFonts w:cs="Times New Roman"/>
          <w:b/>
          <w:color w:val="002060"/>
          <w:sz w:val="28"/>
          <w:szCs w:val="28"/>
          <w:lang w:val="en-GB"/>
        </w:rPr>
        <w:t>Administrative Procedures and Public Service Delivery</w:t>
      </w:r>
    </w:p>
    <w:p w14:paraId="4E9999ED" w14:textId="77777777" w:rsidR="00155895" w:rsidRPr="00083308" w:rsidRDefault="00155895" w:rsidP="00155895">
      <w:pPr>
        <w:spacing w:after="0" w:line="240" w:lineRule="auto"/>
        <w:rPr>
          <w:rFonts w:cs="Times New Roman"/>
          <w:sz w:val="18"/>
          <w:szCs w:val="18"/>
          <w:lang w:val="en-GB"/>
        </w:rPr>
      </w:pPr>
    </w:p>
    <w:p w14:paraId="75B30691" w14:textId="5201297D" w:rsidR="00155895" w:rsidRDefault="00155895" w:rsidP="00155895">
      <w:pPr>
        <w:spacing w:before="120" w:after="120" w:line="240" w:lineRule="auto"/>
        <w:jc w:val="both"/>
      </w:pPr>
      <w:r>
        <w:t>In 2017 t</w:t>
      </w:r>
      <w:r w:rsidRPr="00231363">
        <w:t xml:space="preserve">here was </w:t>
      </w:r>
      <w:r>
        <w:t xml:space="preserve">overall </w:t>
      </w:r>
      <w:r w:rsidRPr="00231363">
        <w:t>improvement</w:t>
      </w:r>
      <w:r>
        <w:t xml:space="preserve"> </w:t>
      </w:r>
      <w:r w:rsidRPr="00231363">
        <w:t>compared to 2016</w:t>
      </w:r>
      <w:r>
        <w:t xml:space="preserve"> in the two</w:t>
      </w:r>
      <w:r w:rsidRPr="00231363">
        <w:t xml:space="preserve"> dimensions </w:t>
      </w:r>
      <w:r>
        <w:t>that focus on public services</w:t>
      </w:r>
      <w:r w:rsidRPr="00231363">
        <w:t xml:space="preserve">: </w:t>
      </w:r>
      <w:r w:rsidR="00E61DB9">
        <w:t>‘</w:t>
      </w:r>
      <w:r w:rsidRPr="00645B64">
        <w:t>Public Administrative Procedures</w:t>
      </w:r>
      <w:r w:rsidR="00114F9C">
        <w:t>’</w:t>
      </w:r>
      <w:bookmarkStart w:id="0" w:name="_GoBack"/>
      <w:bookmarkEnd w:id="0"/>
      <w:r w:rsidRPr="00645B64">
        <w:t xml:space="preserve"> </w:t>
      </w:r>
      <w:r>
        <w:t xml:space="preserve">and </w:t>
      </w:r>
      <w:r w:rsidR="00E61DB9">
        <w:t>‘</w:t>
      </w:r>
      <w:r w:rsidRPr="00645B64">
        <w:t>Public Service Delivery</w:t>
      </w:r>
      <w:r>
        <w:t>.</w:t>
      </w:r>
      <w:r w:rsidR="00E61DB9">
        <w:t>’</w:t>
      </w:r>
      <w:r>
        <w:t xml:space="preserve"> Citizens also reported more positive views and experiences related to corruption, which often has a direct impact on the performance of public service providers. </w:t>
      </w:r>
    </w:p>
    <w:p w14:paraId="700FD0F9" w14:textId="77777777" w:rsidR="00155895" w:rsidRDefault="00155895" w:rsidP="00155895">
      <w:pPr>
        <w:spacing w:before="120" w:after="120" w:line="240" w:lineRule="auto"/>
        <w:jc w:val="both"/>
      </w:pPr>
      <w:r>
        <w:t>An</w:t>
      </w:r>
      <w:r w:rsidRPr="00645B64">
        <w:t xml:space="preserve"> important area of </w:t>
      </w:r>
      <w:r>
        <w:t>progress</w:t>
      </w:r>
      <w:r w:rsidRPr="00645B64">
        <w:t xml:space="preserve"> </w:t>
      </w:r>
      <w:r>
        <w:t>in 2017 was</w:t>
      </w:r>
      <w:r w:rsidRPr="00645B64">
        <w:t xml:space="preserve"> a </w:t>
      </w:r>
      <w:r w:rsidRPr="00732992">
        <w:t xml:space="preserve">remarkable closing of the </w:t>
      </w:r>
      <w:r w:rsidRPr="00645B64">
        <w:t xml:space="preserve">gender gap in land use </w:t>
      </w:r>
      <w:r>
        <w:t>titling:</w:t>
      </w:r>
      <w:r w:rsidRPr="00645B64">
        <w:t xml:space="preserve"> </w:t>
      </w:r>
      <w:r>
        <w:t xml:space="preserve">in 2016 </w:t>
      </w:r>
      <w:r w:rsidRPr="00645B64">
        <w:t xml:space="preserve">18% fewer women in rural areas reported having their names on land use certificates compared to men, </w:t>
      </w:r>
      <w:r>
        <w:t xml:space="preserve">but in 2017 </w:t>
      </w:r>
      <w:r w:rsidRPr="00645B64">
        <w:t xml:space="preserve">the difference fell by half to 9%.  </w:t>
      </w:r>
    </w:p>
    <w:p w14:paraId="29D0DAAB" w14:textId="163A893D" w:rsidR="00155895" w:rsidRPr="004D643B" w:rsidRDefault="00155895" w:rsidP="00155895">
      <w:pPr>
        <w:spacing w:before="120" w:after="120" w:line="240" w:lineRule="auto"/>
        <w:jc w:val="both"/>
      </w:pPr>
      <w:r>
        <w:t xml:space="preserve">Another notable trend was the </w:t>
      </w:r>
      <w:r w:rsidRPr="00231363">
        <w:t>continued increase</w:t>
      </w:r>
      <w:r>
        <w:t xml:space="preserve"> in t</w:t>
      </w:r>
      <w:r w:rsidRPr="00231363">
        <w:t>he number of</w:t>
      </w:r>
      <w:r>
        <w:t xml:space="preserve"> citizens with health insurance: the rate rose</w:t>
      </w:r>
      <w:r w:rsidRPr="00231363">
        <w:t xml:space="preserve"> from 74% in 2016 to 81% in 2017. Further analysis shows that the strongest gains were made in rural population groups. In 2014, only 60% of rural residents had health insurance compared to 69% for urban residents</w:t>
      </w:r>
      <w:r w:rsidR="00E61DB9">
        <w:t>, but the</w:t>
      </w:r>
      <w:r w:rsidRPr="00231363">
        <w:t xml:space="preserve"> gap narrowed in 2017 to less than 4%.</w:t>
      </w:r>
      <w:r w:rsidRPr="00F45A31">
        <w:t xml:space="preserve">  </w:t>
      </w:r>
    </w:p>
    <w:p w14:paraId="4C618F7D" w14:textId="144355F5" w:rsidR="00155895" w:rsidRDefault="00155895" w:rsidP="00155895">
      <w:pPr>
        <w:spacing w:before="120" w:after="120" w:line="240" w:lineRule="auto"/>
        <w:jc w:val="both"/>
      </w:pPr>
      <w:r>
        <w:t xml:space="preserve">Geographically, provinces in the </w:t>
      </w:r>
      <w:r w:rsidRPr="00BA275C">
        <w:t>Mekong Delta and the Southeast</w:t>
      </w:r>
      <w:r>
        <w:t xml:space="preserve"> continued to be the </w:t>
      </w:r>
      <w:r w:rsidR="00E61DB9">
        <w:t>best</w:t>
      </w:r>
      <w:r>
        <w:t xml:space="preserve"> performers in the areas of administrative procedures and</w:t>
      </w:r>
      <w:r w:rsidRPr="00BA275C">
        <w:t xml:space="preserve"> </w:t>
      </w:r>
      <w:r>
        <w:t xml:space="preserve">public service delivery. </w:t>
      </w:r>
    </w:p>
    <w:p w14:paraId="55CA7F2F" w14:textId="77777777" w:rsidR="00155895" w:rsidRDefault="00155895" w:rsidP="00155895">
      <w:pPr>
        <w:spacing w:after="0" w:line="240" w:lineRule="auto"/>
        <w:rPr>
          <w:rFonts w:cs="Times New Roman"/>
          <w:b/>
          <w:color w:val="002060"/>
          <w:sz w:val="24"/>
          <w:szCs w:val="24"/>
          <w:lang w:val="en-GB"/>
        </w:rPr>
      </w:pPr>
      <w:r>
        <w:rPr>
          <w:rFonts w:cs="Times New Roman"/>
          <w:b/>
          <w:color w:val="002060"/>
          <w:sz w:val="24"/>
          <w:szCs w:val="24"/>
          <w:lang w:val="en-GB"/>
        </w:rPr>
        <w:t>Trends in Local Government Performance in First Two Years (2016-2017) of the 2016-2021 Government Term at the Indicator Level</w:t>
      </w:r>
    </w:p>
    <w:p w14:paraId="547E0092" w14:textId="77777777" w:rsidR="00155895" w:rsidRPr="00921CCE" w:rsidRDefault="00155895" w:rsidP="00155895">
      <w:pPr>
        <w:spacing w:before="120" w:after="120" w:line="240" w:lineRule="auto"/>
        <w:jc w:val="both"/>
      </w:pPr>
      <w:r>
        <w:t>By comparing the results for indicators in 2017 with 2016, the findings reveal key areas of progress, as well as setbacks, in the first two years of the current government office.</w:t>
      </w:r>
    </w:p>
    <w:p w14:paraId="00E8BA5C" w14:textId="77777777" w:rsidR="00155895" w:rsidRDefault="00155895" w:rsidP="00155895">
      <w:pPr>
        <w:spacing w:before="120" w:after="120" w:line="240" w:lineRule="auto"/>
        <w:jc w:val="both"/>
      </w:pPr>
      <w:r>
        <w:rPr>
          <w:rFonts w:cs="Times New Roman"/>
          <w:b/>
          <w:color w:val="2E74B5" w:themeColor="accent1" w:themeShade="BF"/>
          <w:spacing w:val="-2"/>
          <w:sz w:val="23"/>
          <w:szCs w:val="23"/>
          <w:lang w:val="en-GB"/>
        </w:rPr>
        <w:t>Dimension 5</w:t>
      </w:r>
      <w:r w:rsidRPr="00A12BEB">
        <w:rPr>
          <w:rFonts w:cs="Times New Roman"/>
          <w:b/>
          <w:color w:val="2E74B5" w:themeColor="accent1" w:themeShade="BF"/>
          <w:spacing w:val="-2"/>
          <w:sz w:val="23"/>
          <w:szCs w:val="23"/>
          <w:lang w:val="en-GB"/>
        </w:rPr>
        <w:t xml:space="preserve">: Public </w:t>
      </w:r>
      <w:r>
        <w:rPr>
          <w:rFonts w:cs="Times New Roman"/>
          <w:b/>
          <w:color w:val="2E74B5" w:themeColor="accent1" w:themeShade="BF"/>
          <w:spacing w:val="-2"/>
          <w:sz w:val="23"/>
          <w:szCs w:val="23"/>
          <w:lang w:val="en-GB"/>
        </w:rPr>
        <w:t>A</w:t>
      </w:r>
      <w:r w:rsidRPr="00A12BEB">
        <w:rPr>
          <w:rFonts w:cs="Times New Roman"/>
          <w:b/>
          <w:color w:val="2E74B5" w:themeColor="accent1" w:themeShade="BF"/>
          <w:spacing w:val="-2"/>
          <w:sz w:val="23"/>
          <w:szCs w:val="23"/>
          <w:lang w:val="en-GB"/>
        </w:rPr>
        <w:t xml:space="preserve">dministrative </w:t>
      </w:r>
      <w:r>
        <w:rPr>
          <w:rFonts w:cs="Times New Roman"/>
          <w:b/>
          <w:color w:val="2E74B5" w:themeColor="accent1" w:themeShade="BF"/>
          <w:spacing w:val="-2"/>
          <w:sz w:val="23"/>
          <w:szCs w:val="23"/>
          <w:lang w:val="en-GB"/>
        </w:rPr>
        <w:t>P</w:t>
      </w:r>
      <w:r w:rsidRPr="00A12BEB">
        <w:rPr>
          <w:rFonts w:cs="Times New Roman"/>
          <w:b/>
          <w:color w:val="2E74B5" w:themeColor="accent1" w:themeShade="BF"/>
          <w:spacing w:val="-2"/>
          <w:sz w:val="23"/>
          <w:szCs w:val="23"/>
          <w:lang w:val="en-GB"/>
        </w:rPr>
        <w:t>rocedures.</w:t>
      </w:r>
      <w:r w:rsidRPr="008A65F2">
        <w:t xml:space="preserve"> </w:t>
      </w:r>
      <w:r>
        <w:t xml:space="preserve">This dimension attempts to measure the quality of public administrative services in areas important to citizens. This includes public certification services as well as application procedures for construction permits, land use rights certificates, and personal documents. </w:t>
      </w:r>
      <w:proofErr w:type="gramStart"/>
      <w:r>
        <w:t>In particular, this</w:t>
      </w:r>
      <w:proofErr w:type="gramEnd"/>
      <w:r>
        <w:t xml:space="preserve"> dimension looks at how professional and responsive the administrative services provided are. </w:t>
      </w:r>
    </w:p>
    <w:p w14:paraId="7B41FC50" w14:textId="61FE272D" w:rsidR="00155895" w:rsidRDefault="00155895" w:rsidP="00155895">
      <w:pPr>
        <w:spacing w:before="120" w:after="120" w:line="240" w:lineRule="auto"/>
        <w:jc w:val="both"/>
      </w:pPr>
      <w:r>
        <w:t xml:space="preserve">As mentioned above, </w:t>
      </w:r>
      <w:r w:rsidRPr="00732992">
        <w:t xml:space="preserve">the 2017 results show a </w:t>
      </w:r>
      <w:r w:rsidR="00E61DB9">
        <w:t>rapid</w:t>
      </w:r>
      <w:r w:rsidRPr="00732992">
        <w:t xml:space="preserve"> closing of the gender gap in land use titling. </w:t>
      </w:r>
      <w:r>
        <w:t xml:space="preserve"> </w:t>
      </w:r>
      <w:r w:rsidRPr="00732992">
        <w:t xml:space="preserve">This trend reflects the effectiveness of actions taken to improve gender equity in land titling, an area of significant progress compared to 2016. Nonetheless, more efforts should be made to encourage women to co-sign their household land rights certificates to further </w:t>
      </w:r>
      <w:r w:rsidR="00E61DB9">
        <w:t>reduce</w:t>
      </w:r>
      <w:r w:rsidRPr="00732992">
        <w:t xml:space="preserve"> the gap</w:t>
      </w:r>
      <w:r>
        <w:t>.</w:t>
      </w:r>
    </w:p>
    <w:p w14:paraId="2D797F4D" w14:textId="5F131C50" w:rsidR="00155895" w:rsidRDefault="00155895" w:rsidP="00155895">
      <w:pPr>
        <w:spacing w:before="120" w:after="120" w:line="240" w:lineRule="auto"/>
        <w:jc w:val="both"/>
      </w:pPr>
      <w:r>
        <w:t xml:space="preserve">The results of the 2017 survey also show there was a significant increase in total reported quality of services for construction permits in 2017 compared to the year before – with the aggregate score rising from 3.55 points in 2016 to 3.78 points in </w:t>
      </w:r>
      <w:r w:rsidR="00E61DB9">
        <w:t xml:space="preserve">2017 on a scale of 0-4 points. </w:t>
      </w:r>
      <w:r>
        <w:t>There was also a significant increase in applicants accessing one-stop windows for</w:t>
      </w:r>
      <w:r w:rsidR="00E61DB9">
        <w:t xml:space="preserve"> services related to</w:t>
      </w:r>
      <w:r>
        <w:t xml:space="preserve"> land use rights certificates (up from 79% in 2016 to 86% in 2017), </w:t>
      </w:r>
      <w:r w:rsidR="00E61DB9">
        <w:t>as well as</w:t>
      </w:r>
      <w:r>
        <w:t xml:space="preserve"> a small increase in total quality of administrative services at the commune level (up from 3.34 points in 2016 to 3.44 points in 2017).</w:t>
      </w:r>
    </w:p>
    <w:p w14:paraId="2915841E" w14:textId="77777777" w:rsidR="00155895" w:rsidRPr="008A65F2" w:rsidRDefault="00155895" w:rsidP="00155895">
      <w:pPr>
        <w:spacing w:before="120" w:after="120" w:line="240" w:lineRule="auto"/>
        <w:jc w:val="both"/>
      </w:pPr>
      <w:r>
        <w:t xml:space="preserve">In other areas the results show some setbacks, with a slight decrease in total quality of administrative services for land use rights certificates (from 2.64 points in 2016 to 2.55 points in 2017 on a scale of 0-4 points). In addition, overall user satisfaction with administrative services for land use rights certificates fell below 4 points on the </w:t>
      </w:r>
      <w:proofErr w:type="gramStart"/>
      <w:r>
        <w:t>0-5 point</w:t>
      </w:r>
      <w:proofErr w:type="gramEnd"/>
      <w:r>
        <w:t xml:space="preserve"> scale, lower than the level for construction permits and personal procedures.   </w:t>
      </w:r>
    </w:p>
    <w:p w14:paraId="24941BAD" w14:textId="77777777" w:rsidR="00155895" w:rsidRDefault="00155895" w:rsidP="00155895">
      <w:pPr>
        <w:spacing w:before="120" w:after="120" w:line="240" w:lineRule="auto"/>
        <w:jc w:val="both"/>
        <w:rPr>
          <w:rFonts w:cs="Times New Roman"/>
          <w:b/>
          <w:color w:val="2E74B5" w:themeColor="accent1" w:themeShade="BF"/>
          <w:spacing w:val="-2"/>
          <w:sz w:val="23"/>
          <w:szCs w:val="23"/>
          <w:lang w:val="en-GB"/>
        </w:rPr>
        <w:sectPr w:rsidR="00155895" w:rsidSect="00155895">
          <w:headerReference w:type="default" r:id="rId7"/>
          <w:footerReference w:type="default" r:id="rId8"/>
          <w:footerReference w:type="first" r:id="rId9"/>
          <w:pgSz w:w="11907" w:h="16839" w:code="9"/>
          <w:pgMar w:top="1440" w:right="1440" w:bottom="1440" w:left="1440" w:header="624" w:footer="567" w:gutter="0"/>
          <w:cols w:space="720"/>
          <w:docGrid w:linePitch="360"/>
        </w:sectPr>
      </w:pPr>
    </w:p>
    <w:p w14:paraId="397A2FE4" w14:textId="3C36FCFC" w:rsidR="00155895" w:rsidRPr="00C7782E" w:rsidRDefault="00155895" w:rsidP="00155895">
      <w:pPr>
        <w:spacing w:before="120" w:after="120" w:line="240" w:lineRule="auto"/>
        <w:jc w:val="both"/>
        <w:rPr>
          <w:b/>
        </w:rPr>
      </w:pPr>
      <w:r>
        <w:rPr>
          <w:rFonts w:cs="Times New Roman"/>
          <w:b/>
          <w:color w:val="2E74B5" w:themeColor="accent1" w:themeShade="BF"/>
          <w:spacing w:val="-2"/>
          <w:sz w:val="23"/>
          <w:szCs w:val="23"/>
          <w:lang w:val="en-GB"/>
        </w:rPr>
        <w:lastRenderedPageBreak/>
        <w:t>Dimension 6</w:t>
      </w:r>
      <w:r w:rsidRPr="00A12BEB">
        <w:rPr>
          <w:rFonts w:cs="Times New Roman"/>
          <w:b/>
          <w:color w:val="2E74B5" w:themeColor="accent1" w:themeShade="BF"/>
          <w:spacing w:val="-2"/>
          <w:sz w:val="23"/>
          <w:szCs w:val="23"/>
          <w:lang w:val="en-GB"/>
        </w:rPr>
        <w:t xml:space="preserve">: Public </w:t>
      </w:r>
      <w:r>
        <w:rPr>
          <w:rFonts w:cs="Times New Roman"/>
          <w:b/>
          <w:color w:val="2E74B5" w:themeColor="accent1" w:themeShade="BF"/>
          <w:spacing w:val="-2"/>
          <w:sz w:val="23"/>
          <w:szCs w:val="23"/>
          <w:lang w:val="en-GB"/>
        </w:rPr>
        <w:t>S</w:t>
      </w:r>
      <w:r w:rsidRPr="00A12BEB">
        <w:rPr>
          <w:rFonts w:cs="Times New Roman"/>
          <w:b/>
          <w:color w:val="2E74B5" w:themeColor="accent1" w:themeShade="BF"/>
          <w:spacing w:val="-2"/>
          <w:sz w:val="23"/>
          <w:szCs w:val="23"/>
          <w:lang w:val="en-GB"/>
        </w:rPr>
        <w:t xml:space="preserve">ervice </w:t>
      </w:r>
      <w:r>
        <w:rPr>
          <w:rFonts w:cs="Times New Roman"/>
          <w:b/>
          <w:color w:val="2E74B5" w:themeColor="accent1" w:themeShade="BF"/>
          <w:spacing w:val="-2"/>
          <w:sz w:val="23"/>
          <w:szCs w:val="23"/>
          <w:lang w:val="en-GB"/>
        </w:rPr>
        <w:t>D</w:t>
      </w:r>
      <w:r w:rsidRPr="00A12BEB">
        <w:rPr>
          <w:rFonts w:cs="Times New Roman"/>
          <w:b/>
          <w:color w:val="2E74B5" w:themeColor="accent1" w:themeShade="BF"/>
          <w:spacing w:val="-2"/>
          <w:sz w:val="23"/>
          <w:szCs w:val="23"/>
          <w:lang w:val="en-GB"/>
        </w:rPr>
        <w:t>elivery.</w:t>
      </w:r>
      <w:r>
        <w:rPr>
          <w:b/>
        </w:rPr>
        <w:t xml:space="preserve"> </w:t>
      </w:r>
      <w:r>
        <w:t>This</w:t>
      </w:r>
      <w:r w:rsidRPr="00C349C9">
        <w:t xml:space="preserve"> dimension looks at four public services: health care, primary education, basic infrastructure, and residential law and order. </w:t>
      </w:r>
      <w:proofErr w:type="gramStart"/>
      <w:r w:rsidRPr="00C349C9">
        <w:t>Similar to</w:t>
      </w:r>
      <w:proofErr w:type="gramEnd"/>
      <w:r w:rsidRPr="00C349C9">
        <w:t xml:space="preserve"> previous PAPI surveys, citizens were asked about their direct experience with the accessibility, quality and availability </w:t>
      </w:r>
      <w:r>
        <w:t>of these services in 2017</w:t>
      </w:r>
      <w:r w:rsidRPr="00C349C9">
        <w:t>.</w:t>
      </w:r>
      <w:r w:rsidRPr="00C349C9">
        <w:rPr>
          <w:b/>
        </w:rPr>
        <w:t xml:space="preserve"> </w:t>
      </w:r>
    </w:p>
    <w:p w14:paraId="1F8C1220" w14:textId="1E918F53" w:rsidR="00155895" w:rsidRDefault="00155895" w:rsidP="00155895">
      <w:pPr>
        <w:spacing w:before="120" w:after="120" w:line="240" w:lineRule="auto"/>
        <w:jc w:val="both"/>
      </w:pPr>
      <w:r>
        <w:t xml:space="preserve">Changes in this dimension have been gradual, though </w:t>
      </w:r>
      <w:r w:rsidR="00E61DB9">
        <w:t>o</w:t>
      </w:r>
      <w:r>
        <w:t>verall, there was a slight increase in the total quality of public primary schools and an insignificant decrease in the total quality of district public hospitals in all provinces over t</w:t>
      </w:r>
      <w:r w:rsidR="00E61DB9">
        <w:t>he two years of 2016 and 2017. However, b</w:t>
      </w:r>
      <w:r>
        <w:t xml:space="preserve">oth indicators show a large gap between the </w:t>
      </w:r>
      <w:proofErr w:type="gramStart"/>
      <w:r>
        <w:t>current status</w:t>
      </w:r>
      <w:proofErr w:type="gramEnd"/>
      <w:r>
        <w:t xml:space="preserve"> of provinces in these areas and expected maximum scores, implying that both sectors need t</w:t>
      </w:r>
      <w:r w:rsidR="00E61DB9">
        <w:t xml:space="preserve">o do more to satisfy citizens. </w:t>
      </w:r>
      <w:r>
        <w:t>Interestingly, this is the</w:t>
      </w:r>
      <w:r w:rsidRPr="00C7782E">
        <w:t xml:space="preserve"> only dimension where gender and ethnicity did not matter greatly.</w:t>
      </w:r>
    </w:p>
    <w:p w14:paraId="5BA0165D" w14:textId="77777777" w:rsidR="00155895" w:rsidRDefault="00155895" w:rsidP="00155895">
      <w:pPr>
        <w:pStyle w:val="References"/>
        <w:ind w:left="0" w:firstLine="0"/>
        <w:jc w:val="center"/>
        <w:rPr>
          <w:b/>
        </w:rPr>
      </w:pPr>
      <w:r>
        <w:rPr>
          <w:b/>
        </w:rPr>
        <w:t>Provincial Performance in Public Service Delivery by Quartiles, 2017</w:t>
      </w:r>
    </w:p>
    <w:p w14:paraId="5DDA76E1" w14:textId="77777777" w:rsidR="00155895" w:rsidRDefault="00155895" w:rsidP="00155895">
      <w:pPr>
        <w:jc w:val="center"/>
        <w:rPr>
          <w:rFonts w:cs="Times New Roman"/>
          <w:b/>
          <w:color w:val="2E74B5" w:themeColor="accent1" w:themeShade="BF"/>
          <w:spacing w:val="-2"/>
          <w:sz w:val="23"/>
          <w:szCs w:val="23"/>
          <w:lang w:val="en-GB"/>
        </w:rPr>
        <w:sectPr w:rsidR="00155895" w:rsidSect="00155895">
          <w:pgSz w:w="11907" w:h="16839" w:code="9"/>
          <w:pgMar w:top="1440" w:right="1440" w:bottom="1440" w:left="1440" w:header="624" w:footer="567" w:gutter="0"/>
          <w:cols w:space="720"/>
          <w:titlePg/>
          <w:docGrid w:linePitch="360"/>
        </w:sectPr>
      </w:pPr>
      <w:r w:rsidRPr="00BD688D">
        <w:rPr>
          <w:noProof/>
        </w:rPr>
        <w:drawing>
          <wp:inline distT="0" distB="0" distL="0" distR="0" wp14:anchorId="6CEFFEBD" wp14:editId="4E0C9830">
            <wp:extent cx="4724684" cy="638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2413" cy="6392190"/>
                    </a:xfrm>
                    <a:prstGeom prst="rect">
                      <a:avLst/>
                    </a:prstGeom>
                  </pic:spPr>
                </pic:pic>
              </a:graphicData>
            </a:graphic>
          </wp:inline>
        </w:drawing>
      </w:r>
    </w:p>
    <w:p w14:paraId="78491AEF" w14:textId="5723E6D9" w:rsidR="00155895" w:rsidRDefault="00155895" w:rsidP="00155895">
      <w:pPr>
        <w:jc w:val="both"/>
      </w:pPr>
      <w:r w:rsidRPr="002A0AB3">
        <w:rPr>
          <w:rFonts w:cs="Times New Roman"/>
          <w:b/>
          <w:color w:val="2E74B5" w:themeColor="accent1" w:themeShade="BF"/>
          <w:spacing w:val="-2"/>
          <w:sz w:val="23"/>
          <w:szCs w:val="23"/>
          <w:lang w:val="en-GB"/>
        </w:rPr>
        <w:lastRenderedPageBreak/>
        <w:t xml:space="preserve">Corruption and Public Services. </w:t>
      </w:r>
      <w:r>
        <w:t>PAPI aims to understand the relationship between c</w:t>
      </w:r>
      <w:r w:rsidRPr="00C7782E">
        <w:t>orruption</w:t>
      </w:r>
      <w:r w:rsidR="00E61DB9">
        <w:t>,</w:t>
      </w:r>
      <w:r w:rsidRPr="00C7782E">
        <w:t xml:space="preserve"> </w:t>
      </w:r>
      <w:r>
        <w:t>nepotism and</w:t>
      </w:r>
      <w:r w:rsidRPr="00C7782E">
        <w:t xml:space="preserve"> public service delivery</w:t>
      </w:r>
      <w:r>
        <w:t>. The survey</w:t>
      </w:r>
      <w:r w:rsidRPr="00C7782E">
        <w:t xml:space="preserve"> </w:t>
      </w:r>
      <w:r>
        <w:t xml:space="preserve">includes </w:t>
      </w:r>
      <w:r w:rsidRPr="00C7782E">
        <w:t>several questions related to corruption</w:t>
      </w:r>
      <w:r>
        <w:t>, including o</w:t>
      </w:r>
      <w:r w:rsidRPr="00C7782E">
        <w:t xml:space="preserve">ne about experiences with and perceptions of petty corruption, particularly bribes for public services and administrative procedures, and another </w:t>
      </w:r>
      <w:r>
        <w:t>about</w:t>
      </w:r>
      <w:r w:rsidRPr="00C7782E">
        <w:t xml:space="preserve"> nepotism in public sector hiring.</w:t>
      </w:r>
      <w:r>
        <w:t xml:space="preserve"> </w:t>
      </w:r>
    </w:p>
    <w:p w14:paraId="279B2D00" w14:textId="3E090358" w:rsidR="00155895" w:rsidRPr="00921CCE" w:rsidRDefault="00155895" w:rsidP="00155895">
      <w:pPr>
        <w:spacing w:before="120" w:after="120" w:line="240" w:lineRule="auto"/>
        <w:jc w:val="both"/>
        <w:rPr>
          <w:rFonts w:cs="Times New Roman"/>
          <w:b/>
          <w:color w:val="2E74B5" w:themeColor="accent1" w:themeShade="BF"/>
          <w:spacing w:val="-2"/>
          <w:sz w:val="23"/>
          <w:szCs w:val="23"/>
          <w:lang w:val="en-GB"/>
        </w:rPr>
      </w:pPr>
      <w:r>
        <w:t>The results show that a</w:t>
      </w:r>
      <w:r w:rsidRPr="00C7782E">
        <w:t>cross nearly all indicators, citizens believed there were lower levels of corruption in 2017</w:t>
      </w:r>
      <w:r>
        <w:t>; c</w:t>
      </w:r>
      <w:r w:rsidRPr="00C7782E">
        <w:t xml:space="preserve">itizens were less likely to observe corruption in the public sector, in public service delivery, </w:t>
      </w:r>
      <w:r>
        <w:t>and</w:t>
      </w:r>
      <w:r w:rsidRPr="00C7782E">
        <w:t xml:space="preserve"> in hiring for government positions</w:t>
      </w:r>
      <w:r>
        <w:t>. T</w:t>
      </w:r>
      <w:r w:rsidRPr="00C7782E">
        <w:t>he one area that did not see as much improvement was citizen’s perception that local governments were willing to fight corruption</w:t>
      </w:r>
      <w:r>
        <w:t>,</w:t>
      </w:r>
      <w:r w:rsidRPr="00C7782E">
        <w:t xml:space="preserve"> suggest</w:t>
      </w:r>
      <w:r>
        <w:t>ing</w:t>
      </w:r>
      <w:r w:rsidRPr="00C7782E">
        <w:t xml:space="preserve"> that while corruption in local governments </w:t>
      </w:r>
      <w:proofErr w:type="gramStart"/>
      <w:r w:rsidRPr="00C7782E">
        <w:t>is seen as</w:t>
      </w:r>
      <w:proofErr w:type="gramEnd"/>
      <w:r w:rsidRPr="00C7782E">
        <w:t xml:space="preserve"> less of a problem, local governments themselves are not significantly more likely to root out corruption proactively. One possible explanation is that the perceptions of reduced corruption are more related to efforts at the central level in </w:t>
      </w:r>
      <w:r w:rsidR="00E61DB9">
        <w:t>dealing with</w:t>
      </w:r>
      <w:r w:rsidRPr="00C7782E">
        <w:t xml:space="preserve"> high-profile corruption cases rather than to those of local-level governments in controlling everyday corruption. However, future surveys will need to assess this more carefully.</w:t>
      </w:r>
    </w:p>
    <w:p w14:paraId="70C0C1A4" w14:textId="77777777" w:rsidR="00342B03" w:rsidRDefault="00342B03" w:rsidP="00155895">
      <w:pPr>
        <w:spacing w:after="0" w:line="240" w:lineRule="auto"/>
        <w:jc w:val="center"/>
        <w:rPr>
          <w:rFonts w:cs="Times New Roman"/>
          <w:sz w:val="23"/>
          <w:szCs w:val="23"/>
          <w:lang w:val="en-GB"/>
        </w:rPr>
      </w:pPr>
    </w:p>
    <w:p w14:paraId="071A1B51" w14:textId="348F190C" w:rsidR="00155895" w:rsidRPr="00083308" w:rsidRDefault="00155895" w:rsidP="00155895">
      <w:pPr>
        <w:spacing w:after="0" w:line="240" w:lineRule="auto"/>
        <w:jc w:val="center"/>
        <w:rPr>
          <w:rFonts w:cs="Times New Roman"/>
          <w:sz w:val="23"/>
          <w:szCs w:val="23"/>
          <w:lang w:val="en-GB"/>
        </w:rPr>
      </w:pPr>
      <w:r w:rsidRPr="00083308">
        <w:rPr>
          <w:rFonts w:cs="Times New Roman"/>
          <w:sz w:val="23"/>
          <w:szCs w:val="23"/>
          <w:lang w:val="en-GB"/>
        </w:rPr>
        <w:t>***</w:t>
      </w:r>
    </w:p>
    <w:p w14:paraId="5CA4B072" w14:textId="77777777" w:rsidR="00342B03" w:rsidRDefault="00342B03" w:rsidP="00155895">
      <w:pPr>
        <w:pStyle w:val="PlainText"/>
        <w:spacing w:after="120"/>
        <w:jc w:val="both"/>
        <w:rPr>
          <w:rFonts w:asciiTheme="minorHAnsi" w:eastAsiaTheme="minorHAnsi" w:hAnsiTheme="minorHAnsi"/>
          <w:i/>
          <w:spacing w:val="-4"/>
          <w:sz w:val="20"/>
          <w:szCs w:val="22"/>
          <w:lang w:val="en-GB"/>
        </w:rPr>
      </w:pPr>
    </w:p>
    <w:p w14:paraId="0F969C64" w14:textId="2B9DB7E6" w:rsidR="00155895" w:rsidRPr="00843DBB" w:rsidRDefault="00155895" w:rsidP="00155895">
      <w:pPr>
        <w:pStyle w:val="PlainText"/>
        <w:spacing w:after="120"/>
        <w:jc w:val="both"/>
        <w:rPr>
          <w:rFonts w:asciiTheme="minorHAnsi" w:eastAsiaTheme="minorHAnsi" w:hAnsiTheme="minorHAnsi"/>
          <w:i/>
          <w:spacing w:val="-4"/>
          <w:sz w:val="20"/>
          <w:szCs w:val="22"/>
          <w:lang w:val="en-GB"/>
        </w:rPr>
      </w:pPr>
      <w:r w:rsidRPr="00843DBB">
        <w:rPr>
          <w:rFonts w:asciiTheme="minorHAnsi" w:eastAsiaTheme="minorHAnsi" w:hAnsiTheme="minorHAnsi"/>
          <w:i/>
          <w:spacing w:val="-4"/>
          <w:sz w:val="20"/>
          <w:szCs w:val="22"/>
          <w:lang w:val="en-GB"/>
        </w:rPr>
        <w:t xml:space="preserve">The Provincial Governance and Public Administration Performance Index (PAPI) is a policy monitoring tool that assesses citizen experiences and satisfaction with government performance at the national and sub-national levels in governance, public administration and public service delivery. Since its pilot in 2009, PAPI has directly interviewed </w:t>
      </w:r>
      <w:bookmarkStart w:id="1" w:name="_Hlk508026464"/>
      <w:r w:rsidRPr="00843DBB">
        <w:rPr>
          <w:rFonts w:asciiTheme="minorHAnsi" w:eastAsiaTheme="minorHAnsi" w:hAnsiTheme="minorHAnsi"/>
          <w:i/>
          <w:spacing w:val="-4"/>
          <w:sz w:val="20"/>
          <w:szCs w:val="22"/>
          <w:lang w:val="en-GB"/>
        </w:rPr>
        <w:t xml:space="preserve">103,059 </w:t>
      </w:r>
      <w:bookmarkEnd w:id="1"/>
      <w:r w:rsidRPr="00843DBB">
        <w:rPr>
          <w:rFonts w:asciiTheme="minorHAnsi" w:eastAsiaTheme="minorHAnsi" w:hAnsiTheme="minorHAnsi"/>
          <w:i/>
          <w:spacing w:val="-4"/>
          <w:sz w:val="20"/>
          <w:szCs w:val="22"/>
          <w:lang w:val="en-GB"/>
        </w:rPr>
        <w:t>Vietnamese citizens nationwide.</w:t>
      </w:r>
    </w:p>
    <w:p w14:paraId="1FFA5104" w14:textId="77777777" w:rsidR="00155895" w:rsidRPr="00843DBB" w:rsidRDefault="00155895" w:rsidP="00155895">
      <w:pPr>
        <w:pStyle w:val="PlainText"/>
        <w:spacing w:after="120"/>
        <w:jc w:val="both"/>
        <w:rPr>
          <w:rFonts w:asciiTheme="minorHAnsi" w:eastAsiaTheme="minorHAnsi" w:hAnsiTheme="minorHAnsi"/>
          <w:i/>
          <w:sz w:val="20"/>
          <w:szCs w:val="22"/>
          <w:lang w:val="en-GB"/>
        </w:rPr>
      </w:pPr>
      <w:r w:rsidRPr="00843DBB">
        <w:rPr>
          <w:rFonts w:asciiTheme="minorHAnsi" w:eastAsiaTheme="minorHAnsi" w:hAnsiTheme="minorHAnsi"/>
          <w:i/>
          <w:sz w:val="20"/>
          <w:szCs w:val="22"/>
          <w:lang w:val="en-GB"/>
        </w:rPr>
        <w:t xml:space="preserve">PAPI measures six dimensions: participation at local levels, transparency, vertical accountability, control of corruption, public administrative procedures and public service delivery. The survey has been implemented nationwide each year since 2011. For the 2017 PAPI Report, </w:t>
      </w:r>
      <w:bookmarkStart w:id="2" w:name="_Hlk508026437"/>
      <w:r w:rsidRPr="00843DBB">
        <w:rPr>
          <w:rFonts w:asciiTheme="minorHAnsi" w:eastAsiaTheme="minorHAnsi" w:hAnsiTheme="minorHAnsi"/>
          <w:i/>
          <w:sz w:val="20"/>
          <w:szCs w:val="22"/>
          <w:lang w:val="en-GB"/>
        </w:rPr>
        <w:t xml:space="preserve">14,097 </w:t>
      </w:r>
      <w:bookmarkEnd w:id="2"/>
      <w:r w:rsidRPr="00843DBB">
        <w:rPr>
          <w:rFonts w:asciiTheme="minorHAnsi" w:eastAsiaTheme="minorHAnsi" w:hAnsiTheme="minorHAnsi"/>
          <w:i/>
          <w:sz w:val="20"/>
          <w:szCs w:val="22"/>
          <w:lang w:val="en-GB"/>
        </w:rPr>
        <w:t>randomly selected citizens were surveyed.</w:t>
      </w:r>
    </w:p>
    <w:p w14:paraId="6102D221" w14:textId="77777777" w:rsidR="00155895" w:rsidRDefault="00155895" w:rsidP="00155895">
      <w:pPr>
        <w:spacing w:after="120" w:line="240" w:lineRule="auto"/>
        <w:jc w:val="both"/>
        <w:rPr>
          <w:rFonts w:cs="Times New Roman"/>
          <w:i/>
          <w:spacing w:val="-2"/>
          <w:sz w:val="20"/>
          <w:lang w:val="en-GB"/>
        </w:rPr>
      </w:pPr>
      <w:r w:rsidRPr="00843DBB">
        <w:rPr>
          <w:rFonts w:cs="Times New Roman"/>
          <w:i/>
          <w:spacing w:val="-2"/>
          <w:sz w:val="20"/>
          <w:lang w:val="en-GB"/>
        </w:rPr>
        <w:t>PAPI is a collaboration between the Centre for Community Support and Development Studies (CECODES), the Centre for Research and Training of the Viet Nam Fatherland Front (VFF-CRT)</w:t>
      </w:r>
      <w:r>
        <w:rPr>
          <w:rFonts w:cs="Times New Roman"/>
          <w:i/>
          <w:spacing w:val="-2"/>
          <w:sz w:val="20"/>
          <w:lang w:val="en-GB"/>
        </w:rPr>
        <w:t>, the Real-Time Analytics</w:t>
      </w:r>
      <w:r w:rsidRPr="00843DBB">
        <w:rPr>
          <w:rFonts w:cs="Times New Roman"/>
          <w:i/>
          <w:spacing w:val="-2"/>
          <w:sz w:val="20"/>
          <w:lang w:val="en-GB"/>
        </w:rPr>
        <w:t xml:space="preserve"> and the United Nations Development Programme (UNDP). </w:t>
      </w:r>
    </w:p>
    <w:p w14:paraId="4444275C" w14:textId="77777777" w:rsidR="00155895" w:rsidRDefault="00155895" w:rsidP="00155895">
      <w:pPr>
        <w:spacing w:after="120" w:line="240" w:lineRule="auto"/>
        <w:jc w:val="both"/>
        <w:rPr>
          <w:rFonts w:cs="Times New Roman"/>
          <w:i/>
          <w:spacing w:val="-2"/>
          <w:sz w:val="20"/>
          <w:lang w:val="en-GB"/>
        </w:rPr>
      </w:pPr>
      <w:r w:rsidRPr="0093238A">
        <w:rPr>
          <w:rFonts w:cs="Times New Roman"/>
          <w:i/>
          <w:spacing w:val="-2"/>
          <w:sz w:val="20"/>
          <w:lang w:val="en-GB"/>
        </w:rPr>
        <w:t xml:space="preserve">Funding for PAPI has been generously provided by the Swiss Agency for Cooperation and Development (SDC) for 2011-2017; </w:t>
      </w:r>
      <w:r>
        <w:rPr>
          <w:rFonts w:cs="Times New Roman"/>
          <w:i/>
          <w:spacing w:val="-2"/>
          <w:sz w:val="20"/>
          <w:lang w:val="en-GB"/>
        </w:rPr>
        <w:t xml:space="preserve">by </w:t>
      </w:r>
      <w:r w:rsidRPr="0093238A">
        <w:rPr>
          <w:i/>
          <w:sz w:val="20"/>
          <w:szCs w:val="24"/>
        </w:rPr>
        <w:t xml:space="preserve">the Department of Foreign Affairs and Trade (DFAT) of Australia </w:t>
      </w:r>
      <w:r>
        <w:rPr>
          <w:i/>
          <w:sz w:val="20"/>
          <w:szCs w:val="24"/>
        </w:rPr>
        <w:t>for</w:t>
      </w:r>
      <w:r w:rsidRPr="0093238A">
        <w:rPr>
          <w:i/>
          <w:sz w:val="20"/>
          <w:szCs w:val="24"/>
        </w:rPr>
        <w:t xml:space="preserve"> 2018-2021</w:t>
      </w:r>
      <w:r w:rsidRPr="0093238A">
        <w:rPr>
          <w:rFonts w:cs="Times New Roman"/>
          <w:i/>
          <w:spacing w:val="-2"/>
          <w:sz w:val="20"/>
          <w:lang w:val="en-GB"/>
        </w:rPr>
        <w:t xml:space="preserve">; </w:t>
      </w:r>
      <w:r>
        <w:rPr>
          <w:rFonts w:cs="Times New Roman"/>
          <w:i/>
          <w:spacing w:val="-2"/>
          <w:sz w:val="20"/>
          <w:lang w:val="en-GB"/>
        </w:rPr>
        <w:t xml:space="preserve">by </w:t>
      </w:r>
      <w:r w:rsidRPr="0093238A">
        <w:rPr>
          <w:i/>
          <w:sz w:val="20"/>
          <w:szCs w:val="24"/>
        </w:rPr>
        <w:t xml:space="preserve">the Embassy of Ireland </w:t>
      </w:r>
      <w:r>
        <w:rPr>
          <w:i/>
          <w:sz w:val="20"/>
          <w:szCs w:val="24"/>
        </w:rPr>
        <w:t>for</w:t>
      </w:r>
      <w:r w:rsidRPr="0093238A">
        <w:rPr>
          <w:i/>
          <w:sz w:val="20"/>
          <w:szCs w:val="24"/>
        </w:rPr>
        <w:t xml:space="preserve"> 2018; and by the United Nations and UNDP in Viet Nam since 2009.</w:t>
      </w:r>
      <w:r w:rsidRPr="00843DBB">
        <w:rPr>
          <w:rFonts w:cs="Times New Roman"/>
          <w:i/>
          <w:spacing w:val="-2"/>
          <w:sz w:val="20"/>
          <w:lang w:val="en-GB"/>
        </w:rPr>
        <w:t> </w:t>
      </w:r>
    </w:p>
    <w:p w14:paraId="2744893E" w14:textId="05A6D96E" w:rsidR="0012501E" w:rsidRDefault="00155895" w:rsidP="00155895">
      <w:pPr>
        <w:spacing w:after="0" w:line="240" w:lineRule="auto"/>
        <w:rPr>
          <w:rFonts w:cs="Times New Roman"/>
          <w:b/>
          <w:color w:val="002060"/>
          <w:sz w:val="30"/>
          <w:szCs w:val="32"/>
          <w:lang w:val="en-GB"/>
        </w:rPr>
      </w:pPr>
      <w:r w:rsidRPr="00843DBB">
        <w:rPr>
          <w:rFonts w:cs="Times New Roman"/>
          <w:i/>
          <w:sz w:val="20"/>
          <w:lang w:val="en-GB"/>
        </w:rPr>
        <w:t xml:space="preserve">The full 2017 PAPI Report and more in-depth analysis can be found at: </w:t>
      </w:r>
      <w:hyperlink r:id="rId11" w:history="1">
        <w:r w:rsidRPr="00843DBB">
          <w:rPr>
            <w:rStyle w:val="Hyperlink"/>
            <w:rFonts w:cs="Times New Roman"/>
            <w:i/>
            <w:sz w:val="20"/>
            <w:lang w:val="en-GB"/>
          </w:rPr>
          <w:t>www.papi.org.vn</w:t>
        </w:r>
      </w:hyperlink>
      <w:r w:rsidRPr="00843DBB">
        <w:rPr>
          <w:rFonts w:cs="Times New Roman"/>
          <w:i/>
          <w:sz w:val="20"/>
          <w:lang w:val="en-GB"/>
        </w:rPr>
        <w:t>.</w:t>
      </w:r>
      <w:r w:rsidR="00CB07DF">
        <w:rPr>
          <w:rFonts w:cs="Times New Roman"/>
          <w:b/>
          <w:color w:val="002060"/>
          <w:szCs w:val="24"/>
          <w:lang w:val="en-GB"/>
        </w:rPr>
        <w:tab/>
      </w:r>
    </w:p>
    <w:p w14:paraId="7B75E608" w14:textId="40FD5791" w:rsidR="00672620" w:rsidRPr="008130B5" w:rsidRDefault="00672620" w:rsidP="008130B5">
      <w:pPr>
        <w:spacing w:after="120" w:line="240" w:lineRule="auto"/>
        <w:jc w:val="both"/>
        <w:rPr>
          <w:rFonts w:cs="Times New Roman"/>
          <w:i/>
          <w:sz w:val="20"/>
          <w:lang w:val="en-GB"/>
        </w:rPr>
      </w:pPr>
    </w:p>
    <w:sectPr w:rsidR="00672620" w:rsidRPr="008130B5" w:rsidSect="00E63DA7">
      <w:pgSz w:w="11907" w:h="16839" w:code="9"/>
      <w:pgMar w:top="1440" w:right="1440" w:bottom="1440" w:left="1440"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8CDB8" w14:textId="77777777" w:rsidR="00BB3F6E" w:rsidRDefault="00BB3F6E" w:rsidP="007331A4">
      <w:pPr>
        <w:spacing w:after="0" w:line="240" w:lineRule="auto"/>
      </w:pPr>
      <w:r>
        <w:separator/>
      </w:r>
    </w:p>
  </w:endnote>
  <w:endnote w:type="continuationSeparator" w:id="0">
    <w:p w14:paraId="7CF7D8B2" w14:textId="77777777" w:rsidR="00BB3F6E" w:rsidRDefault="00BB3F6E" w:rsidP="0073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340986"/>
      <w:docPartObj>
        <w:docPartGallery w:val="Page Numbers (Bottom of Page)"/>
        <w:docPartUnique/>
      </w:docPartObj>
    </w:sdtPr>
    <w:sdtEndPr>
      <w:rPr>
        <w:color w:val="7F7F7F" w:themeColor="background1" w:themeShade="7F"/>
        <w:spacing w:val="60"/>
      </w:rPr>
    </w:sdtEndPr>
    <w:sdtContent>
      <w:p w14:paraId="41765E7B" w14:textId="340E57B3" w:rsidR="00DC3EEA" w:rsidRDefault="00BB3F6E">
        <w:pPr>
          <w:pStyle w:val="Footer"/>
          <w:pBdr>
            <w:top w:val="single" w:sz="4" w:space="1" w:color="D9D9D9" w:themeColor="background1" w:themeShade="D9"/>
          </w:pBdr>
          <w:jc w:val="right"/>
        </w:pPr>
        <w:r>
          <w:rPr>
            <w:noProof/>
            <w:color w:val="4472C4" w:themeColor="accent5"/>
            <w:sz w:val="24"/>
            <w:lang w:val="en-GB" w:eastAsia="en-GB"/>
          </w:rPr>
          <w:pict w14:anchorId="5A4D9352">
            <v:shapetype id="_x0000_t202" coordsize="21600,21600" o:spt="202" path="m,l,21600r21600,l21600,xe">
              <v:stroke joinstyle="miter"/>
              <v:path gradientshapeok="t" o:connecttype="rect"/>
            </v:shapetype>
            <v:shape id="_x0000_s2049" type="#_x0000_t202" style="position:absolute;left:0;text-align:left;margin-left:-12.45pt;margin-top:.7pt;width:302.5pt;height:30pt;z-index:251658240;mso-position-horizontal-relative:text;mso-position-vertical-relative:text;mso-width-relative:margin;mso-height-relative:margin" stroked="f">
              <v:textbox style="mso-next-textbox:#_x0000_s2049">
                <w:txbxContent>
                  <w:p w14:paraId="25184989" w14:textId="77777777" w:rsidR="00FC2280" w:rsidRDefault="00FC2280" w:rsidP="00FC2280">
                    <w:r>
                      <w:rPr>
                        <w:noProof/>
                      </w:rPr>
                      <w:drawing>
                        <wp:inline distT="0" distB="0" distL="0" distR="0" wp14:anchorId="2FC9E0FE" wp14:editId="6EC92A0A">
                          <wp:extent cx="3507740" cy="245745"/>
                          <wp:effectExtent l="19050" t="0" r="0" b="0"/>
                          <wp:docPr id="19" name="Picture 19" descr="C:\Users\do.thi.thanh.huyen\AppData\Local\Microsoft\Windows\Temporary Internet Files\Content.Word\web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i.thanh.huyen\AppData\Local\Microsoft\Windows\Temporary Internet Files\Content.Word\web address.jpg"/>
                                  <pic:cNvPicPr>
                                    <a:picLocks noChangeAspect="1" noChangeArrowheads="1"/>
                                  </pic:cNvPicPr>
                                </pic:nvPicPr>
                                <pic:blipFill>
                                  <a:blip r:embed="rId1"/>
                                  <a:srcRect/>
                                  <a:stretch>
                                    <a:fillRect/>
                                  </a:stretch>
                                </pic:blipFill>
                                <pic:spPr bwMode="auto">
                                  <a:xfrm>
                                    <a:off x="0" y="0"/>
                                    <a:ext cx="3507740" cy="245745"/>
                                  </a:xfrm>
                                  <a:prstGeom prst="rect">
                                    <a:avLst/>
                                  </a:prstGeom>
                                  <a:noFill/>
                                  <a:ln w="9525">
                                    <a:noFill/>
                                    <a:miter lim="800000"/>
                                    <a:headEnd/>
                                    <a:tailEnd/>
                                  </a:ln>
                                </pic:spPr>
                              </pic:pic>
                            </a:graphicData>
                          </a:graphic>
                        </wp:inline>
                      </w:drawing>
                    </w:r>
                  </w:p>
                </w:txbxContent>
              </v:textbox>
            </v:shape>
          </w:pict>
        </w:r>
        <w:r w:rsidR="003D77BC">
          <w:fldChar w:fldCharType="begin"/>
        </w:r>
        <w:r w:rsidR="003D77BC">
          <w:instrText xml:space="preserve"> PAGE   \* MERGEFORMAT </w:instrText>
        </w:r>
        <w:r w:rsidR="003D77BC">
          <w:fldChar w:fldCharType="separate"/>
        </w:r>
        <w:r w:rsidR="00114F9C">
          <w:rPr>
            <w:noProof/>
          </w:rPr>
          <w:t>1</w:t>
        </w:r>
        <w:r w:rsidR="003D77BC">
          <w:rPr>
            <w:noProof/>
          </w:rPr>
          <w:fldChar w:fldCharType="end"/>
        </w:r>
        <w:r w:rsidR="00DC3EEA">
          <w:t xml:space="preserve"> | </w:t>
        </w:r>
        <w:r w:rsidR="00DC3EEA">
          <w:rPr>
            <w:color w:val="7F7F7F" w:themeColor="background1" w:themeShade="7F"/>
            <w:spacing w:val="60"/>
          </w:rPr>
          <w:t>PAPI 201</w:t>
        </w:r>
        <w:r w:rsidR="00C75831">
          <w:rPr>
            <w:color w:val="7F7F7F" w:themeColor="background1" w:themeShade="7F"/>
            <w:spacing w:val="60"/>
          </w:rPr>
          <w:t>7</w:t>
        </w:r>
      </w:p>
    </w:sdtContent>
  </w:sdt>
  <w:p w14:paraId="7513648E" w14:textId="77777777" w:rsidR="00DC3EEA" w:rsidRDefault="00DC3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7099"/>
      <w:docPartObj>
        <w:docPartGallery w:val="Page Numbers (Bottom of Page)"/>
        <w:docPartUnique/>
      </w:docPartObj>
    </w:sdtPr>
    <w:sdtEndPr>
      <w:rPr>
        <w:color w:val="7F7F7F" w:themeColor="background1" w:themeShade="7F"/>
        <w:spacing w:val="60"/>
      </w:rPr>
    </w:sdtEndPr>
    <w:sdtContent>
      <w:p w14:paraId="69D7A5C7" w14:textId="23FB3EB3" w:rsidR="00E63DA7" w:rsidRDefault="006E162F">
        <w:pPr>
          <w:pStyle w:val="Footer"/>
          <w:pBdr>
            <w:top w:val="single" w:sz="4" w:space="1" w:color="D9D9D9" w:themeColor="background1" w:themeShade="D9"/>
          </w:pBdr>
          <w:jc w:val="right"/>
        </w:pPr>
        <w:r>
          <w:rPr>
            <w:noProof/>
          </w:rPr>
          <w:drawing>
            <wp:anchor distT="0" distB="0" distL="114300" distR="114300" simplePos="0" relativeHeight="251657216" behindDoc="1" locked="0" layoutInCell="1" allowOverlap="1" wp14:anchorId="360310F1" wp14:editId="714F725C">
              <wp:simplePos x="0" y="0"/>
              <wp:positionH relativeFrom="column">
                <wp:posOffset>-16234</wp:posOffset>
              </wp:positionH>
              <wp:positionV relativeFrom="paragraph">
                <wp:posOffset>22114</wp:posOffset>
              </wp:positionV>
              <wp:extent cx="3507740" cy="245745"/>
              <wp:effectExtent l="0" t="0" r="0" b="0"/>
              <wp:wrapNone/>
              <wp:docPr id="18" name="Picture 18" descr="C:\Users\do.thi.thanh.huyen\AppData\Local\Microsoft\Windows\Temporary Internet Files\Content.Word\web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i.thanh.huyen\AppData\Local\Microsoft\Windows\Temporary Internet Files\Content.Word\web addr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7740" cy="245745"/>
                      </a:xfrm>
                      <a:prstGeom prst="rect">
                        <a:avLst/>
                      </a:prstGeom>
                      <a:noFill/>
                      <a:ln w="9525">
                        <a:noFill/>
                        <a:miter lim="800000"/>
                        <a:headEnd/>
                        <a:tailEnd/>
                      </a:ln>
                    </pic:spPr>
                  </pic:pic>
                </a:graphicData>
              </a:graphic>
            </wp:anchor>
          </w:drawing>
        </w:r>
        <w:r w:rsidR="00E63DA7">
          <w:fldChar w:fldCharType="begin"/>
        </w:r>
        <w:r w:rsidR="00E63DA7">
          <w:instrText xml:space="preserve"> PAGE   \* MERGEFORMAT </w:instrText>
        </w:r>
        <w:r w:rsidR="00E63DA7">
          <w:fldChar w:fldCharType="separate"/>
        </w:r>
        <w:r w:rsidR="00114F9C">
          <w:rPr>
            <w:noProof/>
          </w:rPr>
          <w:t>3</w:t>
        </w:r>
        <w:r w:rsidR="00E63DA7">
          <w:rPr>
            <w:noProof/>
          </w:rPr>
          <w:fldChar w:fldCharType="end"/>
        </w:r>
        <w:r w:rsidR="00E63DA7">
          <w:t xml:space="preserve"> | </w:t>
        </w:r>
        <w:r w:rsidR="00E63DA7">
          <w:rPr>
            <w:color w:val="7F7F7F" w:themeColor="background1" w:themeShade="7F"/>
            <w:spacing w:val="60"/>
          </w:rPr>
          <w:t>PAPI 2017</w:t>
        </w:r>
      </w:p>
    </w:sdtContent>
  </w:sdt>
  <w:p w14:paraId="7F4955BA" w14:textId="77777777" w:rsidR="00E63DA7" w:rsidRDefault="00E6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9A940" w14:textId="77777777" w:rsidR="00BB3F6E" w:rsidRDefault="00BB3F6E" w:rsidP="007331A4">
      <w:pPr>
        <w:spacing w:after="0" w:line="240" w:lineRule="auto"/>
      </w:pPr>
      <w:r>
        <w:separator/>
      </w:r>
    </w:p>
  </w:footnote>
  <w:footnote w:type="continuationSeparator" w:id="0">
    <w:p w14:paraId="2F0F4D9D" w14:textId="77777777" w:rsidR="00BB3F6E" w:rsidRDefault="00BB3F6E" w:rsidP="00733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EE2F" w14:textId="77777777" w:rsidR="009229E1" w:rsidRDefault="0012501E" w:rsidP="009229E1">
    <w:pPr>
      <w:spacing w:after="0" w:line="240" w:lineRule="auto"/>
      <w:rPr>
        <w:rFonts w:cs="Times New Roman"/>
        <w:b/>
        <w:color w:val="002060"/>
        <w:sz w:val="30"/>
        <w:szCs w:val="32"/>
        <w:lang w:val="en-GB"/>
      </w:rPr>
    </w:pPr>
    <w:r>
      <w:rPr>
        <w:noProof/>
      </w:rPr>
      <w:drawing>
        <wp:anchor distT="0" distB="0" distL="114300" distR="114300" simplePos="0" relativeHeight="251664384" behindDoc="1" locked="0" layoutInCell="1" allowOverlap="1" wp14:anchorId="378DB478" wp14:editId="7DB2935A">
          <wp:simplePos x="0" y="0"/>
          <wp:positionH relativeFrom="column">
            <wp:posOffset>2448808</wp:posOffset>
          </wp:positionH>
          <wp:positionV relativeFrom="paragraph">
            <wp:posOffset>-443589</wp:posOffset>
          </wp:positionV>
          <wp:extent cx="6794421" cy="1449208"/>
          <wp:effectExtent l="0" t="0" r="0" b="0"/>
          <wp:wrapNone/>
          <wp:docPr id="17" name="Picture 17" descr="C:\Users\do.thi.thanh.huyen\AppData\Local\Microsoft\Windows\Temporary Internet Files\Content.Word\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hi.thanh.huyen\AppData\Local\Microsoft\Windows\Temporary Internet Files\Content.Word\ne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421" cy="1449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279AB" w14:textId="77777777" w:rsidR="009229E1" w:rsidRDefault="009229E1" w:rsidP="009229E1">
    <w:pPr>
      <w:spacing w:after="0" w:line="240" w:lineRule="auto"/>
      <w:rPr>
        <w:rFonts w:cs="Times New Roman"/>
        <w:b/>
        <w:color w:val="002060"/>
        <w:sz w:val="30"/>
        <w:szCs w:val="32"/>
        <w:lang w:val="en-GB"/>
      </w:rPr>
    </w:pPr>
  </w:p>
  <w:p w14:paraId="6C031E6B" w14:textId="7A797E24" w:rsidR="002D4055" w:rsidRPr="009229E1" w:rsidRDefault="009229E1" w:rsidP="009229E1">
    <w:pPr>
      <w:spacing w:after="0" w:line="240" w:lineRule="auto"/>
      <w:rPr>
        <w:rFonts w:cs="Times New Roman"/>
        <w:b/>
        <w:color w:val="002060"/>
        <w:sz w:val="30"/>
        <w:szCs w:val="32"/>
        <w:lang w:val="en-GB"/>
      </w:rPr>
    </w:pPr>
    <w:r>
      <w:rPr>
        <w:rFonts w:cs="Times New Roman"/>
        <w:b/>
        <w:color w:val="002060"/>
        <w:sz w:val="30"/>
        <w:szCs w:val="32"/>
        <w:lang w:val="en-GB"/>
      </w:rPr>
      <w:t>T</w:t>
    </w:r>
    <w:r w:rsidRPr="007E2FD5">
      <w:rPr>
        <w:rFonts w:cs="Times New Roman"/>
        <w:b/>
        <w:color w:val="002060"/>
        <w:sz w:val="30"/>
        <w:szCs w:val="32"/>
        <w:lang w:val="en-GB"/>
      </w:rPr>
      <w:t>he Viet Nam Provincial Governance and Public Administration Performance Index (PAPI) 2017</w:t>
    </w:r>
    <w:r w:rsidR="00AB7564">
      <w:rPr>
        <w:color w:val="4472C4" w:themeColor="accent5"/>
        <w:sz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5999"/>
    <w:rsid w:val="00014B89"/>
    <w:rsid w:val="0002093B"/>
    <w:rsid w:val="000228C6"/>
    <w:rsid w:val="00075F89"/>
    <w:rsid w:val="00077F4E"/>
    <w:rsid w:val="00083308"/>
    <w:rsid w:val="000A3464"/>
    <w:rsid w:val="000B7405"/>
    <w:rsid w:val="000E6057"/>
    <w:rsid w:val="000E7F94"/>
    <w:rsid w:val="00107D3D"/>
    <w:rsid w:val="00110B22"/>
    <w:rsid w:val="00111456"/>
    <w:rsid w:val="0011471E"/>
    <w:rsid w:val="00114F9C"/>
    <w:rsid w:val="0011698B"/>
    <w:rsid w:val="00117D24"/>
    <w:rsid w:val="0012501E"/>
    <w:rsid w:val="00130581"/>
    <w:rsid w:val="001320BA"/>
    <w:rsid w:val="00155895"/>
    <w:rsid w:val="00163D03"/>
    <w:rsid w:val="00192AD2"/>
    <w:rsid w:val="00195F3C"/>
    <w:rsid w:val="001B31B6"/>
    <w:rsid w:val="001B640E"/>
    <w:rsid w:val="001D323F"/>
    <w:rsid w:val="001E338D"/>
    <w:rsid w:val="0021004D"/>
    <w:rsid w:val="002105C1"/>
    <w:rsid w:val="00217D56"/>
    <w:rsid w:val="00226F8C"/>
    <w:rsid w:val="00246D4A"/>
    <w:rsid w:val="00246F83"/>
    <w:rsid w:val="00257CC2"/>
    <w:rsid w:val="002726A0"/>
    <w:rsid w:val="00285F57"/>
    <w:rsid w:val="00293E9F"/>
    <w:rsid w:val="002A66B0"/>
    <w:rsid w:val="002A7137"/>
    <w:rsid w:val="002B7976"/>
    <w:rsid w:val="002C23F7"/>
    <w:rsid w:val="002C4122"/>
    <w:rsid w:val="002D2261"/>
    <w:rsid w:val="002D4055"/>
    <w:rsid w:val="002E0AA5"/>
    <w:rsid w:val="002E2B67"/>
    <w:rsid w:val="002E7512"/>
    <w:rsid w:val="00320116"/>
    <w:rsid w:val="003207E2"/>
    <w:rsid w:val="003239B4"/>
    <w:rsid w:val="003273AE"/>
    <w:rsid w:val="003278C5"/>
    <w:rsid w:val="00332D72"/>
    <w:rsid w:val="00342B03"/>
    <w:rsid w:val="003509DC"/>
    <w:rsid w:val="0035147D"/>
    <w:rsid w:val="00370870"/>
    <w:rsid w:val="003751EC"/>
    <w:rsid w:val="0038286A"/>
    <w:rsid w:val="00386A09"/>
    <w:rsid w:val="00394C2A"/>
    <w:rsid w:val="00395840"/>
    <w:rsid w:val="003B2CAA"/>
    <w:rsid w:val="003B46C1"/>
    <w:rsid w:val="003C1653"/>
    <w:rsid w:val="003C263B"/>
    <w:rsid w:val="003C4720"/>
    <w:rsid w:val="003D77BC"/>
    <w:rsid w:val="00402CED"/>
    <w:rsid w:val="00407555"/>
    <w:rsid w:val="004227EA"/>
    <w:rsid w:val="00434FE9"/>
    <w:rsid w:val="00454095"/>
    <w:rsid w:val="004A5999"/>
    <w:rsid w:val="004B57AA"/>
    <w:rsid w:val="004D1AF4"/>
    <w:rsid w:val="0050371A"/>
    <w:rsid w:val="005661FE"/>
    <w:rsid w:val="005663A5"/>
    <w:rsid w:val="00567D77"/>
    <w:rsid w:val="005763E8"/>
    <w:rsid w:val="00587FA2"/>
    <w:rsid w:val="00595847"/>
    <w:rsid w:val="00595F94"/>
    <w:rsid w:val="005A7537"/>
    <w:rsid w:val="005E03B5"/>
    <w:rsid w:val="006048E9"/>
    <w:rsid w:val="006109D0"/>
    <w:rsid w:val="00617A67"/>
    <w:rsid w:val="00632520"/>
    <w:rsid w:val="00646AFC"/>
    <w:rsid w:val="00661016"/>
    <w:rsid w:val="00662334"/>
    <w:rsid w:val="00672620"/>
    <w:rsid w:val="006859C2"/>
    <w:rsid w:val="006B4711"/>
    <w:rsid w:val="006B4A73"/>
    <w:rsid w:val="006B5E1F"/>
    <w:rsid w:val="006B7592"/>
    <w:rsid w:val="006D215B"/>
    <w:rsid w:val="006D4B43"/>
    <w:rsid w:val="006D696C"/>
    <w:rsid w:val="006E162F"/>
    <w:rsid w:val="006F407A"/>
    <w:rsid w:val="00732916"/>
    <w:rsid w:val="007331A4"/>
    <w:rsid w:val="0073425F"/>
    <w:rsid w:val="00746E70"/>
    <w:rsid w:val="00750B16"/>
    <w:rsid w:val="00762B70"/>
    <w:rsid w:val="007A0F87"/>
    <w:rsid w:val="007A275C"/>
    <w:rsid w:val="007B121F"/>
    <w:rsid w:val="007D07AD"/>
    <w:rsid w:val="007D14BB"/>
    <w:rsid w:val="007E20EC"/>
    <w:rsid w:val="007E2FD5"/>
    <w:rsid w:val="007F1159"/>
    <w:rsid w:val="008130B5"/>
    <w:rsid w:val="00832219"/>
    <w:rsid w:val="0086063C"/>
    <w:rsid w:val="008964A8"/>
    <w:rsid w:val="00896A2F"/>
    <w:rsid w:val="008A1524"/>
    <w:rsid w:val="008A7BF5"/>
    <w:rsid w:val="008B6C8A"/>
    <w:rsid w:val="008B6D86"/>
    <w:rsid w:val="008E0FB1"/>
    <w:rsid w:val="009134F3"/>
    <w:rsid w:val="00915A8F"/>
    <w:rsid w:val="009229E1"/>
    <w:rsid w:val="00923F82"/>
    <w:rsid w:val="009264AF"/>
    <w:rsid w:val="00936B2A"/>
    <w:rsid w:val="00967773"/>
    <w:rsid w:val="0097791D"/>
    <w:rsid w:val="00991B76"/>
    <w:rsid w:val="009B0F8F"/>
    <w:rsid w:val="009E13D7"/>
    <w:rsid w:val="009E15FE"/>
    <w:rsid w:val="009E1B2A"/>
    <w:rsid w:val="00A131B5"/>
    <w:rsid w:val="00A17F03"/>
    <w:rsid w:val="00A222B7"/>
    <w:rsid w:val="00A25112"/>
    <w:rsid w:val="00A44D1E"/>
    <w:rsid w:val="00A513DB"/>
    <w:rsid w:val="00A52327"/>
    <w:rsid w:val="00AA3897"/>
    <w:rsid w:val="00AB7564"/>
    <w:rsid w:val="00AC33F0"/>
    <w:rsid w:val="00AD3B5D"/>
    <w:rsid w:val="00AE70C5"/>
    <w:rsid w:val="00B116C6"/>
    <w:rsid w:val="00B14548"/>
    <w:rsid w:val="00B17814"/>
    <w:rsid w:val="00B2776E"/>
    <w:rsid w:val="00B537DF"/>
    <w:rsid w:val="00B713B9"/>
    <w:rsid w:val="00B77C25"/>
    <w:rsid w:val="00BB01E7"/>
    <w:rsid w:val="00BB3F6E"/>
    <w:rsid w:val="00BC6B63"/>
    <w:rsid w:val="00BF034D"/>
    <w:rsid w:val="00C2468C"/>
    <w:rsid w:val="00C34F38"/>
    <w:rsid w:val="00C4669C"/>
    <w:rsid w:val="00C52BFA"/>
    <w:rsid w:val="00C52C2F"/>
    <w:rsid w:val="00C5718F"/>
    <w:rsid w:val="00C7100E"/>
    <w:rsid w:val="00C75831"/>
    <w:rsid w:val="00C81807"/>
    <w:rsid w:val="00C86B32"/>
    <w:rsid w:val="00CB07DF"/>
    <w:rsid w:val="00CB7162"/>
    <w:rsid w:val="00CD3F43"/>
    <w:rsid w:val="00D158A7"/>
    <w:rsid w:val="00D15B1F"/>
    <w:rsid w:val="00D2390E"/>
    <w:rsid w:val="00D4404B"/>
    <w:rsid w:val="00D47FA9"/>
    <w:rsid w:val="00D6209D"/>
    <w:rsid w:val="00D87807"/>
    <w:rsid w:val="00D92BAE"/>
    <w:rsid w:val="00DB4D5B"/>
    <w:rsid w:val="00DC140C"/>
    <w:rsid w:val="00DC3EEA"/>
    <w:rsid w:val="00DE0912"/>
    <w:rsid w:val="00DE6D6F"/>
    <w:rsid w:val="00E001D1"/>
    <w:rsid w:val="00E12179"/>
    <w:rsid w:val="00E154EB"/>
    <w:rsid w:val="00E17499"/>
    <w:rsid w:val="00E26527"/>
    <w:rsid w:val="00E46B9B"/>
    <w:rsid w:val="00E517D7"/>
    <w:rsid w:val="00E52611"/>
    <w:rsid w:val="00E533AB"/>
    <w:rsid w:val="00E545CD"/>
    <w:rsid w:val="00E61DB9"/>
    <w:rsid w:val="00E63DA7"/>
    <w:rsid w:val="00E713FC"/>
    <w:rsid w:val="00E731A6"/>
    <w:rsid w:val="00E74EBC"/>
    <w:rsid w:val="00E82F49"/>
    <w:rsid w:val="00E8474F"/>
    <w:rsid w:val="00EA674B"/>
    <w:rsid w:val="00EC7135"/>
    <w:rsid w:val="00EE6FCA"/>
    <w:rsid w:val="00EF012B"/>
    <w:rsid w:val="00F025F4"/>
    <w:rsid w:val="00F10135"/>
    <w:rsid w:val="00F111A3"/>
    <w:rsid w:val="00F17F16"/>
    <w:rsid w:val="00F22BA4"/>
    <w:rsid w:val="00F235FC"/>
    <w:rsid w:val="00F30F7F"/>
    <w:rsid w:val="00F3450A"/>
    <w:rsid w:val="00F4089F"/>
    <w:rsid w:val="00F579E6"/>
    <w:rsid w:val="00F71E72"/>
    <w:rsid w:val="00F77FA9"/>
    <w:rsid w:val="00F86DBB"/>
    <w:rsid w:val="00FA0788"/>
    <w:rsid w:val="00FA20DE"/>
    <w:rsid w:val="00FB3E38"/>
    <w:rsid w:val="00FC2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1FF9EA"/>
  <w15:docId w15:val="{ABE6254F-BC58-4E58-B807-5C943AB2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E38"/>
  </w:style>
  <w:style w:type="paragraph" w:styleId="Heading2">
    <w:name w:val="heading 2"/>
    <w:basedOn w:val="Normal"/>
    <w:next w:val="Normal"/>
    <w:link w:val="Heading2Char"/>
    <w:uiPriority w:val="9"/>
    <w:qFormat/>
    <w:rsid w:val="00F71E72"/>
    <w:pPr>
      <w:keepNext/>
      <w:keepLines/>
      <w:spacing w:before="240" w:after="120" w:line="276" w:lineRule="auto"/>
      <w:outlineLvl w:val="1"/>
    </w:pPr>
    <w:rPr>
      <w:rFonts w:ascii="Times New Roman" w:eastAsia="Times New Roman" w:hAnsi="Times New Roman" w:cs="Times New Roman"/>
      <w:b/>
      <w:bCs/>
      <w:color w:val="17365D"/>
      <w:sz w:val="28"/>
      <w:szCs w:val="26"/>
      <w:lang w:val="en-GB"/>
    </w:rPr>
  </w:style>
  <w:style w:type="paragraph" w:styleId="Heading3">
    <w:name w:val="heading 3"/>
    <w:basedOn w:val="Normal"/>
    <w:next w:val="Normal"/>
    <w:link w:val="Heading3Char"/>
    <w:uiPriority w:val="9"/>
    <w:semiHidden/>
    <w:unhideWhenUsed/>
    <w:qFormat/>
    <w:rsid w:val="00F86D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ETS,Footnote Text Char Char Char Char Char,Footnote Text Char Char Char Char Char Char Ch,Footnote Text Char Char Char Char Char Char Ch Char, Car Car Car Car, Car Car Car,Car, Car Car,fn,fn Char Char Char,Car Ca"/>
    <w:basedOn w:val="Normal"/>
    <w:link w:val="FootnoteTextChar"/>
    <w:uiPriority w:val="99"/>
    <w:rsid w:val="007331A4"/>
    <w:pPr>
      <w:spacing w:before="120" w:after="120" w:line="240" w:lineRule="auto"/>
      <w:jc w:val="both"/>
    </w:pPr>
    <w:rPr>
      <w:rFonts w:ascii="Times New Roman" w:eastAsia="Malgun Gothic" w:hAnsi="Times New Roman" w:cs="Times New Roman"/>
      <w:sz w:val="20"/>
      <w:szCs w:val="20"/>
      <w:lang w:val="en-GB"/>
    </w:rPr>
  </w:style>
  <w:style w:type="character" w:customStyle="1" w:styleId="FootnoteTextChar">
    <w:name w:val="Footnote Text Char"/>
    <w:aliases w:val="single space Char,footnote text Char,ETS Char,Footnote Text Char Char Char Char Char Char,Footnote Text Char Char Char Char Char Char Ch Char1,Footnote Text Char Char Char Char Char Char Ch Char Char, Car Car Car Car Char,Car Char"/>
    <w:basedOn w:val="DefaultParagraphFont"/>
    <w:link w:val="FootnoteText"/>
    <w:uiPriority w:val="99"/>
    <w:rsid w:val="007331A4"/>
    <w:rPr>
      <w:rFonts w:ascii="Times New Roman" w:eastAsia="Malgun Gothic" w:hAnsi="Times New Roman" w:cs="Times New Roman"/>
      <w:sz w:val="20"/>
      <w:szCs w:val="20"/>
      <w:lang w:val="en-GB"/>
    </w:rPr>
  </w:style>
  <w:style w:type="character" w:styleId="FootnoteReference">
    <w:name w:val="footnote reference"/>
    <w:uiPriority w:val="99"/>
    <w:rsid w:val="007331A4"/>
    <w:rPr>
      <w:vertAlign w:val="superscript"/>
    </w:rPr>
  </w:style>
  <w:style w:type="character" w:customStyle="1" w:styleId="apple-style-span">
    <w:name w:val="apple-style-span"/>
    <w:basedOn w:val="DefaultParagraphFont"/>
    <w:rsid w:val="007F1159"/>
  </w:style>
  <w:style w:type="paragraph" w:styleId="PlainText">
    <w:name w:val="Plain Text"/>
    <w:basedOn w:val="Normal"/>
    <w:link w:val="PlainTextChar"/>
    <w:uiPriority w:val="99"/>
    <w:unhideWhenUsed/>
    <w:rsid w:val="002B797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B7976"/>
    <w:rPr>
      <w:rFonts w:ascii="Consolas" w:eastAsia="Calibri" w:hAnsi="Consolas" w:cs="Times New Roman"/>
      <w:sz w:val="21"/>
      <w:szCs w:val="21"/>
    </w:rPr>
  </w:style>
  <w:style w:type="character" w:styleId="Hyperlink">
    <w:name w:val="Hyperlink"/>
    <w:basedOn w:val="DefaultParagraphFont"/>
    <w:uiPriority w:val="99"/>
    <w:unhideWhenUsed/>
    <w:rsid w:val="002B7976"/>
    <w:rPr>
      <w:color w:val="0000FF"/>
      <w:u w:val="single"/>
    </w:rPr>
  </w:style>
  <w:style w:type="character" w:styleId="CommentReference">
    <w:name w:val="annotation reference"/>
    <w:basedOn w:val="DefaultParagraphFont"/>
    <w:uiPriority w:val="99"/>
    <w:unhideWhenUsed/>
    <w:rsid w:val="00E001D1"/>
    <w:rPr>
      <w:sz w:val="16"/>
      <w:szCs w:val="16"/>
    </w:rPr>
  </w:style>
  <w:style w:type="paragraph" w:styleId="CommentText">
    <w:name w:val="annotation text"/>
    <w:basedOn w:val="Normal"/>
    <w:link w:val="CommentTextChar"/>
    <w:uiPriority w:val="99"/>
    <w:unhideWhenUsed/>
    <w:rsid w:val="00E001D1"/>
    <w:pPr>
      <w:spacing w:line="240" w:lineRule="auto"/>
    </w:pPr>
    <w:rPr>
      <w:sz w:val="20"/>
      <w:szCs w:val="20"/>
    </w:rPr>
  </w:style>
  <w:style w:type="character" w:customStyle="1" w:styleId="CommentTextChar">
    <w:name w:val="Comment Text Char"/>
    <w:basedOn w:val="DefaultParagraphFont"/>
    <w:link w:val="CommentText"/>
    <w:uiPriority w:val="99"/>
    <w:rsid w:val="00E001D1"/>
    <w:rPr>
      <w:sz w:val="20"/>
      <w:szCs w:val="20"/>
    </w:rPr>
  </w:style>
  <w:style w:type="paragraph" w:styleId="CommentSubject">
    <w:name w:val="annotation subject"/>
    <w:basedOn w:val="CommentText"/>
    <w:next w:val="CommentText"/>
    <w:link w:val="CommentSubjectChar"/>
    <w:uiPriority w:val="99"/>
    <w:semiHidden/>
    <w:unhideWhenUsed/>
    <w:rsid w:val="00E001D1"/>
    <w:rPr>
      <w:b/>
      <w:bCs/>
    </w:rPr>
  </w:style>
  <w:style w:type="character" w:customStyle="1" w:styleId="CommentSubjectChar">
    <w:name w:val="Comment Subject Char"/>
    <w:basedOn w:val="CommentTextChar"/>
    <w:link w:val="CommentSubject"/>
    <w:uiPriority w:val="99"/>
    <w:semiHidden/>
    <w:rsid w:val="00E001D1"/>
    <w:rPr>
      <w:b/>
      <w:bCs/>
      <w:sz w:val="20"/>
      <w:szCs w:val="20"/>
    </w:rPr>
  </w:style>
  <w:style w:type="paragraph" w:styleId="BalloonText">
    <w:name w:val="Balloon Text"/>
    <w:basedOn w:val="Normal"/>
    <w:link w:val="BalloonTextChar"/>
    <w:uiPriority w:val="99"/>
    <w:semiHidden/>
    <w:unhideWhenUsed/>
    <w:rsid w:val="00E00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1D1"/>
    <w:rPr>
      <w:rFonts w:ascii="Segoe UI" w:hAnsi="Segoe UI" w:cs="Segoe UI"/>
      <w:sz w:val="18"/>
      <w:szCs w:val="18"/>
    </w:rPr>
  </w:style>
  <w:style w:type="paragraph" w:styleId="Header">
    <w:name w:val="header"/>
    <w:basedOn w:val="Normal"/>
    <w:link w:val="HeaderChar"/>
    <w:uiPriority w:val="99"/>
    <w:unhideWhenUsed/>
    <w:rsid w:val="00246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D4A"/>
  </w:style>
  <w:style w:type="paragraph" w:styleId="Footer">
    <w:name w:val="footer"/>
    <w:basedOn w:val="Normal"/>
    <w:link w:val="FooterChar"/>
    <w:uiPriority w:val="99"/>
    <w:unhideWhenUsed/>
    <w:rsid w:val="00246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D4A"/>
  </w:style>
  <w:style w:type="character" w:customStyle="1" w:styleId="Heading2Char">
    <w:name w:val="Heading 2 Char"/>
    <w:basedOn w:val="DefaultParagraphFont"/>
    <w:link w:val="Heading2"/>
    <w:uiPriority w:val="9"/>
    <w:rsid w:val="00F71E72"/>
    <w:rPr>
      <w:rFonts w:ascii="Times New Roman" w:eastAsia="Times New Roman" w:hAnsi="Times New Roman" w:cs="Times New Roman"/>
      <w:b/>
      <w:bCs/>
      <w:color w:val="17365D"/>
      <w:sz w:val="28"/>
      <w:szCs w:val="26"/>
      <w:lang w:val="en-GB"/>
    </w:rPr>
  </w:style>
  <w:style w:type="table" w:customStyle="1" w:styleId="LightShading-Accent11">
    <w:name w:val="Light Shading - Accent 11"/>
    <w:basedOn w:val="TableNormal"/>
    <w:uiPriority w:val="60"/>
    <w:rsid w:val="008E0FB1"/>
    <w:pPr>
      <w:spacing w:after="0" w:line="240" w:lineRule="auto"/>
    </w:pPr>
    <w:rPr>
      <w:rFonts w:ascii="Calibri" w:eastAsia="Calibri"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662334"/>
    <w:pPr>
      <w:spacing w:before="120" w:after="120" w:line="240" w:lineRule="auto"/>
      <w:jc w:val="center"/>
    </w:pPr>
    <w:rPr>
      <w:rFonts w:ascii="Calibri" w:eastAsia="Calibri" w:hAnsi="Calibri" w:cs="Times New Roman"/>
      <w:b/>
      <w:bCs/>
      <w:szCs w:val="20"/>
      <w:lang w:val="en-GB"/>
    </w:rPr>
  </w:style>
  <w:style w:type="character" w:customStyle="1" w:styleId="Heading3Char">
    <w:name w:val="Heading 3 Char"/>
    <w:basedOn w:val="DefaultParagraphFont"/>
    <w:link w:val="Heading3"/>
    <w:uiPriority w:val="9"/>
    <w:semiHidden/>
    <w:rsid w:val="00F86DBB"/>
    <w:rPr>
      <w:rFonts w:asciiTheme="majorHAnsi" w:eastAsiaTheme="majorEastAsia" w:hAnsiTheme="majorHAnsi" w:cstheme="majorBidi"/>
      <w:color w:val="1F4D78" w:themeColor="accent1" w:themeShade="7F"/>
      <w:sz w:val="24"/>
      <w:szCs w:val="24"/>
    </w:rPr>
  </w:style>
  <w:style w:type="paragraph" w:customStyle="1" w:styleId="References">
    <w:name w:val="References"/>
    <w:basedOn w:val="EndnoteText"/>
    <w:qFormat/>
    <w:rsid w:val="00155895"/>
    <w:pPr>
      <w:spacing w:before="120" w:after="120"/>
      <w:ind w:left="567" w:hanging="567"/>
    </w:pPr>
    <w:rPr>
      <w:rFonts w:ascii="Calibri" w:eastAsia="Calibri" w:hAnsi="Calibri" w:cs="Times New Roman"/>
      <w:sz w:val="24"/>
      <w:szCs w:val="24"/>
      <w:lang w:val="en-GB"/>
    </w:rPr>
  </w:style>
  <w:style w:type="paragraph" w:styleId="EndnoteText">
    <w:name w:val="endnote text"/>
    <w:basedOn w:val="Normal"/>
    <w:link w:val="EndnoteTextChar"/>
    <w:uiPriority w:val="99"/>
    <w:semiHidden/>
    <w:unhideWhenUsed/>
    <w:rsid w:val="001558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58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pi.org.vn"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D2C0C-70F5-4B04-BC21-4A58BB84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Goodall</dc:creator>
  <cp:lastModifiedBy>Do Thi Thanh Huyen</cp:lastModifiedBy>
  <cp:revision>3</cp:revision>
  <cp:lastPrinted>2018-03-15T05:55:00Z</cp:lastPrinted>
  <dcterms:created xsi:type="dcterms:W3CDTF">2018-03-23T00:34:00Z</dcterms:created>
  <dcterms:modified xsi:type="dcterms:W3CDTF">2018-03-30T03:40:00Z</dcterms:modified>
</cp:coreProperties>
</file>